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C2232A" w:rsidRDefault="004D3FDF" w:rsidP="006129EB">
      <w:pPr>
        <w:jc w:val="center"/>
        <w:rPr>
          <w:color w:val="000000"/>
          <w:lang w:val="es-MX"/>
        </w:rPr>
      </w:pPr>
      <w:r w:rsidRPr="00C2232A">
        <w:rPr>
          <w:color w:val="000000"/>
          <w:lang w:val="es-MX"/>
        </w:rPr>
        <w:t>p</w:t>
      </w:r>
      <w:r w:rsidR="00404783" w:rsidRPr="00C2232A">
        <w:rPr>
          <w:color w:val="000000"/>
          <w:lang w:val="es-MX"/>
        </w:rPr>
        <w:t>entru</w:t>
      </w:r>
    </w:p>
    <w:p w:rsidR="00196FD6" w:rsidRDefault="00196FD6" w:rsidP="00196FD6">
      <w:pPr>
        <w:jc w:val="center"/>
        <w:rPr>
          <w:b/>
          <w:lang w:val="ro-RO"/>
        </w:rPr>
      </w:pPr>
      <w:r w:rsidRPr="00355B27">
        <w:rPr>
          <w:b/>
          <w:lang w:val="ro-RO"/>
        </w:rPr>
        <w:t xml:space="preserve">LN3 - Lucrari de remediere parte metalica si refacere cauciucare rezervor FeSO4  </w:t>
      </w:r>
    </w:p>
    <w:p w:rsidR="00196FD6" w:rsidRDefault="00196FD6" w:rsidP="00196FD6">
      <w:pPr>
        <w:jc w:val="center"/>
        <w:rPr>
          <w:color w:val="000000"/>
          <w:lang w:val="it-IT"/>
        </w:rPr>
      </w:pPr>
      <w:r w:rsidRPr="00355B27">
        <w:rPr>
          <w:b/>
          <w:lang w:val="ro-RO"/>
        </w:rPr>
        <w:t>CTE Bucuresti SUD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C2232A" w:rsidRPr="00355BFE" w:rsidRDefault="00C2232A" w:rsidP="00A07FDA">
      <w:pPr>
        <w:jc w:val="both"/>
        <w:rPr>
          <w:b/>
          <w:color w:val="000000"/>
          <w:lang w:val="es-MX"/>
        </w:rPr>
      </w:pPr>
    </w:p>
    <w:p w:rsidR="002A21E7" w:rsidRDefault="008440C8" w:rsidP="000D46C3">
      <w:pPr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4D3FDF" w:rsidRPr="00355BFE">
        <w:rPr>
          <w:b/>
          <w:color w:val="000000"/>
          <w:lang w:val="es-MX"/>
        </w:rPr>
        <w:t xml:space="preserve">DENUMIRE </w:t>
      </w:r>
      <w:r w:rsidR="00C324CA">
        <w:rPr>
          <w:b/>
          <w:color w:val="000000"/>
          <w:lang w:val="es-MX"/>
        </w:rPr>
        <w:t>executant</w:t>
      </w:r>
      <w:r w:rsidR="004D3FDF" w:rsidRPr="00355BFE">
        <w:rPr>
          <w:b/>
          <w:color w:val="000000"/>
          <w:lang w:val="es-MX"/>
        </w:rPr>
        <w:t>:………………………………………………………………………</w:t>
      </w:r>
    </w:p>
    <w:p w:rsidR="00C2232A" w:rsidRDefault="00C2232A" w:rsidP="004743F6">
      <w:pPr>
        <w:ind w:hanging="900"/>
        <w:jc w:val="both"/>
        <w:rPr>
          <w:b/>
          <w:color w:val="000000"/>
          <w:lang w:val="es-MX"/>
        </w:rPr>
      </w:pPr>
    </w:p>
    <w:p w:rsidR="00CA1548" w:rsidRDefault="00EB0E68" w:rsidP="00CA1548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FD014B">
        <w:rPr>
          <w:b/>
          <w:sz w:val="22"/>
          <w:szCs w:val="22"/>
          <w:u w:val="single"/>
          <w:lang w:val="fr-FR"/>
        </w:rPr>
        <w:tab/>
        <w:t>NOMENCLATOR</w:t>
      </w:r>
      <w:r>
        <w:rPr>
          <w:b/>
          <w:sz w:val="22"/>
          <w:szCs w:val="22"/>
          <w:u w:val="single"/>
          <w:lang w:val="fr-FR"/>
        </w:rPr>
        <w:t>UL</w:t>
      </w:r>
      <w:r w:rsidR="00C324CA">
        <w:rPr>
          <w:b/>
          <w:sz w:val="22"/>
          <w:szCs w:val="22"/>
          <w:u w:val="single"/>
          <w:lang w:val="fr-FR"/>
        </w:rPr>
        <w:t xml:space="preserve"> </w:t>
      </w:r>
      <w:r>
        <w:rPr>
          <w:b/>
          <w:sz w:val="22"/>
          <w:szCs w:val="22"/>
          <w:u w:val="single"/>
          <w:lang w:val="fr-FR"/>
        </w:rPr>
        <w:t xml:space="preserve"> LUCRARILOR</w:t>
      </w:r>
    </w:p>
    <w:p w:rsidR="00196FD6" w:rsidRPr="00196FD6" w:rsidRDefault="00196FD6" w:rsidP="00E01E56">
      <w:pPr>
        <w:rPr>
          <w:sz w:val="22"/>
          <w:szCs w:val="22"/>
          <w:lang w:val="fr-FR"/>
        </w:rPr>
      </w:pPr>
    </w:p>
    <w:tbl>
      <w:tblPr>
        <w:tblpPr w:leftFromText="180" w:rightFromText="180" w:vertAnchor="text" w:horzAnchor="margin" w:tblpX="-34" w:tblpY="11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394"/>
        <w:gridCol w:w="992"/>
        <w:gridCol w:w="709"/>
        <w:gridCol w:w="992"/>
        <w:gridCol w:w="851"/>
        <w:gridCol w:w="850"/>
        <w:gridCol w:w="992"/>
      </w:tblGrid>
      <w:tr w:rsidR="00E00700" w:rsidRPr="007E6CDA" w:rsidTr="00B47D03">
        <w:trPr>
          <w:cantSplit/>
          <w:trHeight w:val="420"/>
        </w:trPr>
        <w:tc>
          <w:tcPr>
            <w:tcW w:w="534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394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C324CA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DENUMIREA</w:t>
            </w:r>
            <w:r w:rsidR="00C324CA">
              <w:rPr>
                <w:b/>
                <w:sz w:val="22"/>
                <w:szCs w:val="22"/>
                <w:lang w:val="fr-FR"/>
              </w:rPr>
              <w:t xml:space="preserve"> LUCRARILOR</w:t>
            </w:r>
          </w:p>
        </w:tc>
        <w:tc>
          <w:tcPr>
            <w:tcW w:w="992" w:type="dxa"/>
            <w:vMerge w:val="restart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709" w:type="dxa"/>
            <w:vMerge w:val="restart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Canti</w:t>
            </w: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tate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</w:t>
            </w:r>
            <w:r w:rsidRPr="009C562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  <w:tc>
          <w:tcPr>
            <w:tcW w:w="1842" w:type="dxa"/>
            <w:gridSpan w:val="2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Din care:</w:t>
            </w:r>
          </w:p>
        </w:tc>
      </w:tr>
      <w:tr w:rsidR="00E00700" w:rsidRPr="007E6CDA" w:rsidTr="00B47D03">
        <w:trPr>
          <w:cantSplit/>
          <w:trHeight w:val="671"/>
        </w:trPr>
        <w:tc>
          <w:tcPr>
            <w:tcW w:w="534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394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E00700" w:rsidRPr="009C562F" w:rsidRDefault="00E00700" w:rsidP="00C324CA">
            <w:pPr>
              <w:ind w:hanging="106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Contrac</w:t>
            </w:r>
            <w:r w:rsidR="00D96808">
              <w:rPr>
                <w:b/>
                <w:sz w:val="20"/>
                <w:szCs w:val="20"/>
              </w:rPr>
              <w:t>--</w:t>
            </w:r>
            <w:r w:rsidRPr="009C562F">
              <w:rPr>
                <w:b/>
                <w:sz w:val="20"/>
                <w:szCs w:val="20"/>
              </w:rPr>
              <w:t>tant general</w:t>
            </w:r>
          </w:p>
        </w:tc>
        <w:tc>
          <w:tcPr>
            <w:tcW w:w="992" w:type="dxa"/>
            <w:vAlign w:val="center"/>
          </w:tcPr>
          <w:p w:rsidR="00E00700" w:rsidRPr="009C562F" w:rsidRDefault="00E00700" w:rsidP="00D9680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Subcon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tractant</w:t>
            </w:r>
          </w:p>
        </w:tc>
      </w:tr>
      <w:tr w:rsidR="00E00700" w:rsidRPr="007E6CDA" w:rsidTr="00B47D03">
        <w:trPr>
          <w:cantSplit/>
          <w:trHeight w:val="144"/>
        </w:trPr>
        <w:tc>
          <w:tcPr>
            <w:tcW w:w="534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394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992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709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850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992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B47D03" w:rsidRPr="007E6CDA" w:rsidTr="005D313D">
        <w:trPr>
          <w:cantSplit/>
          <w:trHeight w:val="478"/>
        </w:trPr>
        <w:tc>
          <w:tcPr>
            <w:tcW w:w="534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9780" w:type="dxa"/>
            <w:gridSpan w:val="7"/>
            <w:vAlign w:val="center"/>
          </w:tcPr>
          <w:p w:rsidR="00B47D03" w:rsidRPr="005D313D" w:rsidRDefault="00B47D03" w:rsidP="005D313D">
            <w:pPr>
              <w:rPr>
                <w:b/>
              </w:rPr>
            </w:pPr>
            <w:r w:rsidRPr="005D313D">
              <w:rPr>
                <w:b/>
              </w:rPr>
              <w:t>Lucrari de remediere parte metalica si refacere cauciucare rezervor de FeSO4  V= 9 mc</w:t>
            </w: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1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rPr>
                <w:lang w:eastAsia="en-US"/>
              </w:rPr>
            </w:pPr>
            <w:r w:rsidRPr="00B47D03">
              <w:rPr>
                <w:lang w:eastAsia="en-US"/>
              </w:rPr>
              <w:t>Montare/demontare schela metalica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2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 xml:space="preserve">Demontare cu recuperare elice agitator, ax, electromotor cu reductor si suport reductor   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kg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3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Demontare capac rezervor cauciucat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kg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4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Curatare suprafata interioara si desfacere protectie din cauciuc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5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Sablare interioara rezervor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6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Control grosimi pereti laterali rezervor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pct.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7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Reparatie prin sudura fund rezervor si pereti laterali (daca este cazul dupa masuratori grosimi) din tabla neagra grosime 6 mm, portiuni ce insumeaza cca. 3 mp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8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Curatare cordoane de sudura la peticele sudate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ml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9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Degresare si desprafuire suprafata sablata interioara rezervor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10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Aplicare folie cauciuc grosimea 4 mm vulcanizata la rece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11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Verificari specifice cauciucare: grosimi, continuitate, duritate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12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Indepartare protectie veche la exteriorul rezervorului prin curatare mecanica</w:t>
            </w:r>
          </w:p>
        </w:tc>
        <w:tc>
          <w:tcPr>
            <w:tcW w:w="992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mp</w:t>
            </w:r>
          </w:p>
        </w:tc>
        <w:tc>
          <w:tcPr>
            <w:tcW w:w="709" w:type="dxa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7E6CDA" w:rsidTr="00E01E56">
        <w:trPr>
          <w:cantSplit/>
          <w:trHeight w:val="433"/>
        </w:trPr>
        <w:tc>
          <w:tcPr>
            <w:tcW w:w="534" w:type="dxa"/>
            <w:vMerge w:val="restart"/>
            <w:vAlign w:val="center"/>
          </w:tcPr>
          <w:p w:rsidR="00B47D03" w:rsidRPr="00B47D03" w:rsidRDefault="00B47D03" w:rsidP="00B47F98">
            <w:pPr>
              <w:jc w:val="center"/>
              <w:rPr>
                <w:lang w:eastAsia="en-US"/>
              </w:rPr>
            </w:pPr>
            <w:r w:rsidRPr="00B47D03">
              <w:rPr>
                <w:lang w:eastAsia="en-US"/>
              </w:rPr>
              <w:t>13</w:t>
            </w:r>
          </w:p>
        </w:tc>
        <w:tc>
          <w:tcPr>
            <w:tcW w:w="4394" w:type="dxa"/>
            <w:vAlign w:val="center"/>
          </w:tcPr>
          <w:p w:rsidR="00B47D03" w:rsidRPr="00B47D03" w:rsidRDefault="00B47D03" w:rsidP="00B47F98">
            <w:pPr>
              <w:rPr>
                <w:lang w:eastAsia="en-US"/>
              </w:rPr>
            </w:pPr>
            <w:r w:rsidRPr="00B47D03">
              <w:rPr>
                <w:lang w:eastAsia="en-US"/>
              </w:rPr>
              <w:t>Protectie la exterior a rezervorului astfel:</w:t>
            </w:r>
          </w:p>
        </w:tc>
        <w:tc>
          <w:tcPr>
            <w:tcW w:w="992" w:type="dxa"/>
          </w:tcPr>
          <w:p w:rsidR="00B47D03" w:rsidRPr="00B47D03" w:rsidRDefault="00B47D03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709" w:type="dxa"/>
          </w:tcPr>
          <w:p w:rsidR="00B47D03" w:rsidRPr="00B47D03" w:rsidRDefault="00B47D03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47D03" w:rsidRPr="00B47D03" w:rsidRDefault="00B47D03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47D03" w:rsidRPr="00B82C8D" w:rsidRDefault="00B47D03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01E56" w:rsidRPr="007E6CDA" w:rsidTr="00B47D03">
        <w:trPr>
          <w:cantSplit/>
          <w:trHeight w:val="144"/>
        </w:trPr>
        <w:tc>
          <w:tcPr>
            <w:tcW w:w="534" w:type="dxa"/>
            <w:vMerge/>
            <w:vAlign w:val="center"/>
          </w:tcPr>
          <w:p w:rsidR="00E01E56" w:rsidRPr="00B47D03" w:rsidRDefault="00E01E56" w:rsidP="00B47F98">
            <w:pPr>
              <w:rPr>
                <w:lang w:eastAsia="en-US"/>
              </w:rPr>
            </w:pPr>
          </w:p>
        </w:tc>
        <w:tc>
          <w:tcPr>
            <w:tcW w:w="4394" w:type="dxa"/>
            <w:vAlign w:val="center"/>
          </w:tcPr>
          <w:p w:rsidR="00E01E56" w:rsidRPr="00B47D03" w:rsidRDefault="00E01E56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Aplicare 1 strat de grund anticoroziv epoxidic</w:t>
            </w:r>
          </w:p>
        </w:tc>
        <w:tc>
          <w:tcPr>
            <w:tcW w:w="992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mp</w:t>
            </w:r>
          </w:p>
        </w:tc>
        <w:tc>
          <w:tcPr>
            <w:tcW w:w="709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30</w:t>
            </w:r>
          </w:p>
        </w:tc>
        <w:tc>
          <w:tcPr>
            <w:tcW w:w="992" w:type="dxa"/>
            <w:shd w:val="clear" w:color="auto" w:fill="auto"/>
          </w:tcPr>
          <w:p w:rsidR="00E01E56" w:rsidRPr="00B47D03" w:rsidRDefault="00E01E56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01E56" w:rsidRPr="007E6CDA" w:rsidTr="00B47D03">
        <w:trPr>
          <w:cantSplit/>
          <w:trHeight w:val="144"/>
        </w:trPr>
        <w:tc>
          <w:tcPr>
            <w:tcW w:w="534" w:type="dxa"/>
            <w:vMerge/>
            <w:vAlign w:val="center"/>
          </w:tcPr>
          <w:p w:rsidR="00E01E56" w:rsidRPr="00B47D03" w:rsidRDefault="00E01E56" w:rsidP="00B47F98">
            <w:pPr>
              <w:rPr>
                <w:lang w:eastAsia="en-US"/>
              </w:rPr>
            </w:pPr>
          </w:p>
        </w:tc>
        <w:tc>
          <w:tcPr>
            <w:tcW w:w="4394" w:type="dxa"/>
            <w:vAlign w:val="center"/>
          </w:tcPr>
          <w:p w:rsidR="00E01E56" w:rsidRPr="00B47D03" w:rsidRDefault="00E01E56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Aplicare 2 straturi de vopsea anticoroziva epoxidica</w:t>
            </w:r>
          </w:p>
        </w:tc>
        <w:tc>
          <w:tcPr>
            <w:tcW w:w="992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mp</w:t>
            </w:r>
          </w:p>
        </w:tc>
        <w:tc>
          <w:tcPr>
            <w:tcW w:w="709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30</w:t>
            </w:r>
          </w:p>
        </w:tc>
        <w:tc>
          <w:tcPr>
            <w:tcW w:w="992" w:type="dxa"/>
            <w:shd w:val="clear" w:color="auto" w:fill="auto"/>
          </w:tcPr>
          <w:p w:rsidR="00E01E56" w:rsidRPr="00B47D03" w:rsidRDefault="00E01E56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01E56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E01E56" w:rsidRPr="00B47D03" w:rsidRDefault="00E01E56" w:rsidP="00B47F98">
            <w:pPr>
              <w:rPr>
                <w:lang w:eastAsia="en-US"/>
              </w:rPr>
            </w:pPr>
            <w:r w:rsidRPr="00B47D03">
              <w:rPr>
                <w:lang w:eastAsia="en-US"/>
              </w:rPr>
              <w:t>14</w:t>
            </w:r>
          </w:p>
        </w:tc>
        <w:tc>
          <w:tcPr>
            <w:tcW w:w="4394" w:type="dxa"/>
            <w:vAlign w:val="center"/>
          </w:tcPr>
          <w:p w:rsidR="00E01E56" w:rsidRPr="00B47D03" w:rsidRDefault="00E01E56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 xml:space="preserve">Montare suport electromotor, electromotor cu reductor, ax, elice, agitator  </w:t>
            </w:r>
          </w:p>
        </w:tc>
        <w:tc>
          <w:tcPr>
            <w:tcW w:w="992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kg</w:t>
            </w:r>
          </w:p>
        </w:tc>
        <w:tc>
          <w:tcPr>
            <w:tcW w:w="709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1500</w:t>
            </w:r>
          </w:p>
        </w:tc>
        <w:tc>
          <w:tcPr>
            <w:tcW w:w="992" w:type="dxa"/>
            <w:shd w:val="clear" w:color="auto" w:fill="auto"/>
          </w:tcPr>
          <w:p w:rsidR="00E01E56" w:rsidRPr="00B47D03" w:rsidRDefault="00E01E56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01E56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E01E56" w:rsidRPr="00B47D03" w:rsidRDefault="00E01E56" w:rsidP="00B47F98">
            <w:pPr>
              <w:rPr>
                <w:lang w:eastAsia="en-US"/>
              </w:rPr>
            </w:pPr>
            <w:r w:rsidRPr="00B47D03">
              <w:rPr>
                <w:lang w:eastAsia="en-US"/>
              </w:rPr>
              <w:t>15</w:t>
            </w:r>
          </w:p>
        </w:tc>
        <w:tc>
          <w:tcPr>
            <w:tcW w:w="4394" w:type="dxa"/>
            <w:vAlign w:val="center"/>
          </w:tcPr>
          <w:p w:rsidR="00E01E56" w:rsidRPr="00B47D03" w:rsidRDefault="00E01E56" w:rsidP="00B47F98">
            <w:pPr>
              <w:jc w:val="both"/>
              <w:rPr>
                <w:lang w:eastAsia="en-US"/>
              </w:rPr>
            </w:pPr>
            <w:r w:rsidRPr="00B47D03">
              <w:rPr>
                <w:lang w:eastAsia="en-US"/>
              </w:rPr>
              <w:t>Montare capac rezervor cauciucat, inclusiv garnituri</w:t>
            </w:r>
          </w:p>
        </w:tc>
        <w:tc>
          <w:tcPr>
            <w:tcW w:w="992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kg</w:t>
            </w:r>
          </w:p>
        </w:tc>
        <w:tc>
          <w:tcPr>
            <w:tcW w:w="709" w:type="dxa"/>
            <w:vAlign w:val="center"/>
          </w:tcPr>
          <w:p w:rsidR="00E01E56" w:rsidRPr="00E01E56" w:rsidRDefault="00E01E56">
            <w:pPr>
              <w:jc w:val="center"/>
            </w:pPr>
            <w:r w:rsidRPr="00E01E56">
              <w:t>500</w:t>
            </w:r>
          </w:p>
        </w:tc>
        <w:tc>
          <w:tcPr>
            <w:tcW w:w="992" w:type="dxa"/>
            <w:shd w:val="clear" w:color="auto" w:fill="auto"/>
          </w:tcPr>
          <w:p w:rsidR="00E01E56" w:rsidRPr="00B47D03" w:rsidRDefault="00E01E56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E01E56" w:rsidRPr="00B82C8D" w:rsidRDefault="00E01E56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34D5B" w:rsidRPr="007E6CDA" w:rsidTr="00B47D03">
        <w:trPr>
          <w:cantSplit/>
          <w:trHeight w:val="144"/>
        </w:trPr>
        <w:tc>
          <w:tcPr>
            <w:tcW w:w="534" w:type="dxa"/>
            <w:vAlign w:val="center"/>
          </w:tcPr>
          <w:p w:rsidR="00D34D5B" w:rsidRPr="00B47D03" w:rsidRDefault="00D34D5B" w:rsidP="00B47F98">
            <w:pPr>
              <w:rPr>
                <w:lang w:eastAsia="en-US"/>
              </w:rPr>
            </w:pPr>
          </w:p>
        </w:tc>
        <w:tc>
          <w:tcPr>
            <w:tcW w:w="4394" w:type="dxa"/>
            <w:vAlign w:val="center"/>
          </w:tcPr>
          <w:p w:rsidR="00D34D5B" w:rsidRDefault="00D34D5B" w:rsidP="00B47F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NOTA:</w:t>
            </w:r>
          </w:p>
          <w:p w:rsidR="00D34D5B" w:rsidRDefault="00D34D5B" w:rsidP="00B47F98">
            <w:pPr>
              <w:jc w:val="both"/>
              <w:rPr>
                <w:b/>
                <w:i/>
                <w:noProof w:val="0"/>
                <w:lang w:val="en-GB" w:eastAsia="en-GB"/>
              </w:rPr>
            </w:pPr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1.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Executantul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efectua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toate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probele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testele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necesare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care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ateste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calitatea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lucrarilor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executate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conformitate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cu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legislatia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specifica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vigoare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.</w:t>
            </w:r>
          </w:p>
          <w:p w:rsidR="00D34D5B" w:rsidRDefault="00D34D5B" w:rsidP="00B47F98">
            <w:pPr>
              <w:jc w:val="both"/>
              <w:rPr>
                <w:b/>
                <w:i/>
                <w:noProof w:val="0"/>
                <w:lang w:val="en-GB" w:eastAsia="en-GB"/>
              </w:rPr>
            </w:pPr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2.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Toate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materialele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marunte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inclusiv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garniturile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capacul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rezervorului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de FeSO4 (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suruburi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piulite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saibe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electrozi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sudura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etc.)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vor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fi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asigurate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executant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. </w:t>
            </w:r>
            <w:proofErr w:type="gram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3.Toate</w:t>
            </w:r>
            <w:proofErr w:type="gram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utilajele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necesare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executarii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lucrarii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vor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fi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asigurate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executant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(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instalatie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aer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comprimat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trasee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aer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comprimat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instalatie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sablare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schele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etc.).        </w:t>
            </w:r>
          </w:p>
          <w:p w:rsidR="00D34D5B" w:rsidRPr="00B47D03" w:rsidRDefault="00D34D5B" w:rsidP="00B47F98">
            <w:pPr>
              <w:jc w:val="both"/>
              <w:rPr>
                <w:lang w:eastAsia="en-US"/>
              </w:rPr>
            </w:pPr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 4.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Toate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lucrarile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se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vor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executa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la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fata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locului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, la CTE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Bucuresti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Sud</w:t>
            </w:r>
            <w:proofErr w:type="spellEnd"/>
            <w:r w:rsidRPr="0099428D">
              <w:rPr>
                <w:b/>
                <w:i/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  <w:tc>
          <w:tcPr>
            <w:tcW w:w="992" w:type="dxa"/>
            <w:vAlign w:val="center"/>
          </w:tcPr>
          <w:p w:rsidR="00D34D5B" w:rsidRPr="00E01E56" w:rsidRDefault="00D34D5B">
            <w:pPr>
              <w:jc w:val="center"/>
            </w:pPr>
          </w:p>
        </w:tc>
        <w:tc>
          <w:tcPr>
            <w:tcW w:w="709" w:type="dxa"/>
            <w:vAlign w:val="center"/>
          </w:tcPr>
          <w:p w:rsidR="00D34D5B" w:rsidRPr="00E01E56" w:rsidRDefault="00D34D5B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34D5B" w:rsidRPr="00B47D03" w:rsidRDefault="00D34D5B" w:rsidP="00535194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D34D5B" w:rsidRPr="00B82C8D" w:rsidRDefault="00D34D5B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:rsidR="00D34D5B" w:rsidRPr="00B82C8D" w:rsidRDefault="00D34D5B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D34D5B" w:rsidRPr="00B82C8D" w:rsidRDefault="00D34D5B" w:rsidP="0053519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47D03" w:rsidRPr="00355BFE" w:rsidTr="00B47D03">
        <w:trPr>
          <w:trHeight w:val="505"/>
        </w:trPr>
        <w:tc>
          <w:tcPr>
            <w:tcW w:w="534" w:type="dxa"/>
            <w:vAlign w:val="center"/>
          </w:tcPr>
          <w:p w:rsidR="00B47D03" w:rsidRPr="00B47D03" w:rsidRDefault="00B47D03" w:rsidP="00C2232A">
            <w:pPr>
              <w:jc w:val="center"/>
            </w:pPr>
          </w:p>
          <w:p w:rsidR="00B47D03" w:rsidRPr="00B47D03" w:rsidRDefault="00B47D03" w:rsidP="00C2232A">
            <w:pPr>
              <w:jc w:val="center"/>
            </w:pPr>
          </w:p>
        </w:tc>
        <w:tc>
          <w:tcPr>
            <w:tcW w:w="7087" w:type="dxa"/>
            <w:gridSpan w:val="4"/>
            <w:vAlign w:val="center"/>
          </w:tcPr>
          <w:p w:rsidR="00B47D03" w:rsidRPr="00B47D03" w:rsidRDefault="00B47D03" w:rsidP="00C2232A">
            <w:r w:rsidRPr="00B47D03">
              <w:rPr>
                <w:b/>
                <w:color w:val="000000"/>
              </w:rPr>
              <w:t>TOTAL  (lei fara TVA)</w:t>
            </w:r>
          </w:p>
        </w:tc>
        <w:tc>
          <w:tcPr>
            <w:tcW w:w="851" w:type="dxa"/>
            <w:shd w:val="clear" w:color="auto" w:fill="auto"/>
          </w:tcPr>
          <w:p w:rsidR="00B47D03" w:rsidRPr="00F042F3" w:rsidRDefault="00B47D03" w:rsidP="00C2232A"/>
        </w:tc>
        <w:tc>
          <w:tcPr>
            <w:tcW w:w="850" w:type="dxa"/>
          </w:tcPr>
          <w:p w:rsidR="00B47D03" w:rsidRPr="005D3CEF" w:rsidRDefault="00B47D03" w:rsidP="00C2232A"/>
        </w:tc>
        <w:tc>
          <w:tcPr>
            <w:tcW w:w="992" w:type="dxa"/>
          </w:tcPr>
          <w:p w:rsidR="00B47D03" w:rsidRPr="005D3CEF" w:rsidRDefault="00B47D03" w:rsidP="00C2232A"/>
        </w:tc>
      </w:tr>
    </w:tbl>
    <w:p w:rsidR="00B47D03" w:rsidRDefault="00B47D03" w:rsidP="00E24687">
      <w:pPr>
        <w:ind w:right="-142"/>
        <w:rPr>
          <w:b/>
          <w:color w:val="000000"/>
        </w:rPr>
      </w:pPr>
    </w:p>
    <w:p w:rsidR="00D34D5B" w:rsidRDefault="00D34D5B" w:rsidP="00E24687">
      <w:pPr>
        <w:ind w:right="-142"/>
        <w:rPr>
          <w:b/>
          <w:color w:val="000000"/>
        </w:rPr>
      </w:pPr>
    </w:p>
    <w:p w:rsidR="00D34D5B" w:rsidRPr="0073553F" w:rsidRDefault="00D34D5B" w:rsidP="00D34D5B">
      <w:pPr>
        <w:rPr>
          <w:b/>
          <w:caps/>
          <w:sz w:val="22"/>
          <w:szCs w:val="22"/>
          <w:u w:val="single"/>
          <w:lang w:val="fr-FR"/>
        </w:rPr>
      </w:pPr>
      <w:r w:rsidRPr="0073553F">
        <w:rPr>
          <w:b/>
          <w:sz w:val="22"/>
          <w:szCs w:val="22"/>
          <w:u w:val="single"/>
          <w:lang w:val="fr-FR"/>
        </w:rPr>
        <w:t xml:space="preserve">ANEXA 2: </w:t>
      </w:r>
      <w:r>
        <w:rPr>
          <w:b/>
          <w:sz w:val="22"/>
          <w:szCs w:val="22"/>
          <w:u w:val="single"/>
          <w:lang w:val="fr-FR"/>
        </w:rPr>
        <w:t xml:space="preserve"> </w:t>
      </w:r>
      <w:r w:rsidRPr="0073553F">
        <w:rPr>
          <w:b/>
          <w:sz w:val="22"/>
          <w:szCs w:val="22"/>
          <w:u w:val="single"/>
          <w:lang w:val="fr-FR"/>
        </w:rPr>
        <w:t xml:space="preserve">LISTA 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MATERIALELOR DE BAZĂ </w:t>
      </w:r>
      <w:r>
        <w:rPr>
          <w:b/>
          <w:caps/>
          <w:sz w:val="22"/>
          <w:szCs w:val="22"/>
          <w:u w:val="single"/>
          <w:lang w:val="fr-FR"/>
        </w:rPr>
        <w:t xml:space="preserve"> ASIGURATE DE EXECUTANT</w:t>
      </w:r>
    </w:p>
    <w:p w:rsidR="00D34D5B" w:rsidRDefault="00D34D5B" w:rsidP="00D34D5B">
      <w:pPr>
        <w:rPr>
          <w:b/>
          <w:sz w:val="22"/>
          <w:szCs w:val="22"/>
          <w:lang w:val="it-IT"/>
        </w:rPr>
      </w:pPr>
    </w:p>
    <w:p w:rsidR="00D34D5B" w:rsidRPr="0073553F" w:rsidRDefault="00D34D5B" w:rsidP="00D34D5B">
      <w:pPr>
        <w:rPr>
          <w:b/>
          <w:sz w:val="22"/>
          <w:szCs w:val="22"/>
          <w:lang w:val="it-IT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4678"/>
        <w:gridCol w:w="712"/>
        <w:gridCol w:w="1556"/>
        <w:gridCol w:w="1276"/>
        <w:gridCol w:w="1275"/>
      </w:tblGrid>
      <w:tr w:rsidR="00D34D5B" w:rsidRPr="00F82FF0" w:rsidTr="00D34D5B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4678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551" w:type="dxa"/>
            <w:gridSpan w:val="2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D34D5B" w:rsidRPr="00F82FF0" w:rsidTr="00D34D5B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4678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275" w:type="dxa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D34D5B" w:rsidRPr="00DB001A" w:rsidTr="00D34D5B">
        <w:trPr>
          <w:trHeight w:val="54"/>
        </w:trPr>
        <w:tc>
          <w:tcPr>
            <w:tcW w:w="851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0</w:t>
            </w:r>
          </w:p>
        </w:tc>
        <w:tc>
          <w:tcPr>
            <w:tcW w:w="4678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5</w:t>
            </w:r>
          </w:p>
        </w:tc>
      </w:tr>
      <w:tr w:rsidR="00D34D5B" w:rsidRPr="00EA4BA2" w:rsidTr="002C4F36">
        <w:trPr>
          <w:trHeight w:val="388"/>
        </w:trPr>
        <w:tc>
          <w:tcPr>
            <w:tcW w:w="851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D34D5B" w:rsidRPr="00EA4BA2" w:rsidRDefault="00D34D5B">
            <w:pPr>
              <w:jc w:val="both"/>
            </w:pPr>
            <w:r w:rsidRPr="00EA4BA2">
              <w:rPr>
                <w:sz w:val="22"/>
                <w:szCs w:val="22"/>
              </w:rPr>
              <w:t>Folie cauciuc tip GBF 70 sau echivalent grosimea 4 mm vulcanizata la rece</w:t>
            </w:r>
          </w:p>
        </w:tc>
        <w:tc>
          <w:tcPr>
            <w:tcW w:w="712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</w:tr>
      <w:tr w:rsidR="00D34D5B" w:rsidRPr="00EA4BA2" w:rsidTr="002C4F36">
        <w:trPr>
          <w:trHeight w:val="367"/>
        </w:trPr>
        <w:tc>
          <w:tcPr>
            <w:tcW w:w="851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D34D5B" w:rsidRPr="00EA4BA2" w:rsidRDefault="00D34D5B">
            <w:pPr>
              <w:jc w:val="both"/>
            </w:pPr>
            <w:r w:rsidRPr="00EA4BA2">
              <w:rPr>
                <w:sz w:val="22"/>
                <w:szCs w:val="22"/>
              </w:rPr>
              <w:t>Grund anticoroziv epoxidic</w:t>
            </w:r>
          </w:p>
        </w:tc>
        <w:tc>
          <w:tcPr>
            <w:tcW w:w="712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</w:tr>
      <w:tr w:rsidR="00D34D5B" w:rsidRPr="00EA4BA2" w:rsidTr="002C4F36">
        <w:trPr>
          <w:trHeight w:val="367"/>
        </w:trPr>
        <w:tc>
          <w:tcPr>
            <w:tcW w:w="851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D34D5B" w:rsidRPr="00EA4BA2" w:rsidRDefault="00D34D5B">
            <w:pPr>
              <w:jc w:val="both"/>
            </w:pPr>
            <w:r w:rsidRPr="00EA4BA2">
              <w:rPr>
                <w:sz w:val="22"/>
                <w:szCs w:val="22"/>
              </w:rPr>
              <w:t>Vopsea anticoroziva epoxidica</w:t>
            </w:r>
          </w:p>
        </w:tc>
        <w:tc>
          <w:tcPr>
            <w:tcW w:w="712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</w:tr>
      <w:tr w:rsidR="00D34D5B" w:rsidRPr="00EA4BA2" w:rsidTr="002C4F36">
        <w:trPr>
          <w:trHeight w:val="367"/>
        </w:trPr>
        <w:tc>
          <w:tcPr>
            <w:tcW w:w="851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4</w:t>
            </w:r>
          </w:p>
        </w:tc>
        <w:tc>
          <w:tcPr>
            <w:tcW w:w="4678" w:type="dxa"/>
            <w:vAlign w:val="center"/>
          </w:tcPr>
          <w:p w:rsidR="00D34D5B" w:rsidRPr="00EA4BA2" w:rsidRDefault="00D34D5B">
            <w:r w:rsidRPr="00EA4BA2">
              <w:rPr>
                <w:sz w:val="22"/>
                <w:szCs w:val="22"/>
              </w:rPr>
              <w:t>Degresant pentru suprafata de</w:t>
            </w:r>
          </w:p>
        </w:tc>
        <w:tc>
          <w:tcPr>
            <w:tcW w:w="712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</w:tr>
      <w:tr w:rsidR="00D34D5B" w:rsidRPr="00EA4BA2" w:rsidTr="002C4F36">
        <w:trPr>
          <w:trHeight w:val="367"/>
        </w:trPr>
        <w:tc>
          <w:tcPr>
            <w:tcW w:w="851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5</w:t>
            </w:r>
          </w:p>
        </w:tc>
        <w:tc>
          <w:tcPr>
            <w:tcW w:w="4678" w:type="dxa"/>
            <w:vAlign w:val="center"/>
          </w:tcPr>
          <w:p w:rsidR="00D34D5B" w:rsidRPr="00EA4BA2" w:rsidRDefault="00D34D5B">
            <w:r w:rsidRPr="00EA4BA2">
              <w:rPr>
                <w:sz w:val="22"/>
                <w:szCs w:val="22"/>
              </w:rPr>
              <w:t xml:space="preserve">Diluant epoxidic pentru suprafata de </w:t>
            </w:r>
          </w:p>
        </w:tc>
        <w:tc>
          <w:tcPr>
            <w:tcW w:w="712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D34D5B" w:rsidRPr="00EA4BA2" w:rsidRDefault="00D34D5B">
            <w:pPr>
              <w:jc w:val="center"/>
            </w:pPr>
            <w:r w:rsidRPr="00EA4BA2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D34D5B" w:rsidRPr="00EA4BA2" w:rsidRDefault="00D34D5B" w:rsidP="00B47F98">
            <w:pPr>
              <w:jc w:val="center"/>
              <w:rPr>
                <w:caps/>
              </w:rPr>
            </w:pPr>
          </w:p>
        </w:tc>
      </w:tr>
      <w:tr w:rsidR="00EA4BA2" w:rsidRPr="00EA4BA2" w:rsidTr="00C11F43">
        <w:trPr>
          <w:trHeight w:val="367"/>
        </w:trPr>
        <w:tc>
          <w:tcPr>
            <w:tcW w:w="851" w:type="dxa"/>
            <w:vAlign w:val="center"/>
          </w:tcPr>
          <w:p w:rsidR="00EA4BA2" w:rsidRPr="00EA4BA2" w:rsidRDefault="00EA4BA2" w:rsidP="00B47F98">
            <w:pPr>
              <w:jc w:val="center"/>
            </w:pPr>
          </w:p>
        </w:tc>
        <w:tc>
          <w:tcPr>
            <w:tcW w:w="9497" w:type="dxa"/>
            <w:gridSpan w:val="5"/>
            <w:vAlign w:val="bottom"/>
          </w:tcPr>
          <w:p w:rsidR="00EA4BA2" w:rsidRPr="00EA4BA2" w:rsidRDefault="00EA4BA2" w:rsidP="00EA4BA2">
            <w:pPr>
              <w:rPr>
                <w:caps/>
              </w:rPr>
            </w:pPr>
            <w:r w:rsidRPr="00EA4BA2">
              <w:rPr>
                <w:sz w:val="22"/>
                <w:szCs w:val="22"/>
              </w:rPr>
              <w:t>NOTA: Toate materialele marunte, inclusiv garniturile pentru capacul rezervorului de FeSO4 (suruburi, piulite, saibe, electrozi de sudura, etc.) vor fi asigurate de executant</w:t>
            </w:r>
          </w:p>
        </w:tc>
      </w:tr>
      <w:tr w:rsidR="00D34D5B" w:rsidRPr="00EA4BA2" w:rsidTr="00EA4BA2">
        <w:trPr>
          <w:trHeight w:val="442"/>
        </w:trPr>
        <w:tc>
          <w:tcPr>
            <w:tcW w:w="9073" w:type="dxa"/>
            <w:gridSpan w:val="5"/>
            <w:vAlign w:val="center"/>
          </w:tcPr>
          <w:p w:rsidR="00D34D5B" w:rsidRPr="00EA4BA2" w:rsidRDefault="00D34D5B" w:rsidP="00B47F98">
            <w:pPr>
              <w:rPr>
                <w:caps/>
              </w:rPr>
            </w:pPr>
            <w:r w:rsidRPr="00EA4BA2">
              <w:rPr>
                <w:b/>
                <w:sz w:val="22"/>
                <w:szCs w:val="22"/>
                <w:lang w:val="fr-FR"/>
              </w:rPr>
              <w:t>Total  lei  (fara TVA) :</w:t>
            </w:r>
          </w:p>
        </w:tc>
        <w:tc>
          <w:tcPr>
            <w:tcW w:w="1275" w:type="dxa"/>
            <w:vAlign w:val="bottom"/>
          </w:tcPr>
          <w:p w:rsidR="00D34D5B" w:rsidRPr="00EA4BA2" w:rsidRDefault="00D34D5B" w:rsidP="00D34D5B"/>
        </w:tc>
      </w:tr>
    </w:tbl>
    <w:p w:rsidR="00D34D5B" w:rsidRDefault="00D34D5B" w:rsidP="00D34D5B">
      <w:pPr>
        <w:rPr>
          <w:b/>
          <w:i/>
          <w:sz w:val="20"/>
          <w:szCs w:val="20"/>
          <w:lang w:val="it-IT"/>
        </w:rPr>
      </w:pPr>
    </w:p>
    <w:p w:rsidR="00D34D5B" w:rsidRDefault="00D34D5B" w:rsidP="00E24687">
      <w:pPr>
        <w:ind w:right="-142"/>
        <w:rPr>
          <w:b/>
          <w:color w:val="000000"/>
        </w:rPr>
      </w:pPr>
    </w:p>
    <w:p w:rsidR="005F448C" w:rsidRPr="005F448C" w:rsidRDefault="005F448C" w:rsidP="005F448C">
      <w:pPr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t>CONDIŢII TEHNICE</w:t>
      </w:r>
    </w:p>
    <w:p w:rsidR="005F448C" w:rsidRPr="005F448C" w:rsidRDefault="005F448C" w:rsidP="005F448C">
      <w:pPr>
        <w:rPr>
          <w:b/>
          <w:color w:val="000000"/>
          <w:u w:val="single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2"/>
        <w:gridCol w:w="2976"/>
      </w:tblGrid>
      <w:tr w:rsidR="005F448C" w:rsidRPr="005F448C" w:rsidTr="000E63A5">
        <w:trPr>
          <w:trHeight w:val="595"/>
        </w:trPr>
        <w:tc>
          <w:tcPr>
            <w:tcW w:w="7372" w:type="dxa"/>
            <w:vAlign w:val="center"/>
          </w:tcPr>
          <w:p w:rsidR="005F448C" w:rsidRPr="005F448C" w:rsidRDefault="005F448C" w:rsidP="00741D50">
            <w:pPr>
              <w:jc w:val="both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OFERTA</w:t>
            </w:r>
          </w:p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 xml:space="preserve">EXECUTANT </w:t>
            </w:r>
          </w:p>
          <w:p w:rsidR="005F448C" w:rsidRPr="005F448C" w:rsidRDefault="005F448C" w:rsidP="00741D50">
            <w:pPr>
              <w:jc w:val="both"/>
              <w:rPr>
                <w:color w:val="000000"/>
              </w:rPr>
            </w:pPr>
            <w:r w:rsidRPr="005F448C">
              <w:rPr>
                <w:color w:val="000000"/>
              </w:rPr>
              <w:t xml:space="preserve">  </w:t>
            </w:r>
            <w:r w:rsidRPr="005F448C">
              <w:rPr>
                <w:i/>
                <w:color w:val="000000"/>
              </w:rPr>
              <w:t>(se bifează varianta dorită)</w:t>
            </w:r>
          </w:p>
        </w:tc>
      </w:tr>
      <w:tr w:rsidR="005F448C" w:rsidRPr="005F448C" w:rsidTr="00EA4BA2">
        <w:trPr>
          <w:trHeight w:val="837"/>
        </w:trPr>
        <w:tc>
          <w:tcPr>
            <w:tcW w:w="7372" w:type="dxa"/>
          </w:tcPr>
          <w:p w:rsidR="005F448C" w:rsidRPr="005F448C" w:rsidRDefault="005F448C" w:rsidP="005F448C">
            <w:pPr>
              <w:ind w:hanging="34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 xml:space="preserve">  1. </w:t>
            </w:r>
            <w:r w:rsidRPr="005F448C">
              <w:rPr>
                <w:b/>
                <w:i/>
                <w:sz w:val="22"/>
                <w:szCs w:val="22"/>
                <w:lang w:val="fr-FR"/>
              </w:rPr>
              <w:t xml:space="preserve">Se vor respecta toate cerintele precizate precizate de  achizitor  in caietul de sarcini 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 w:rsidRPr="00C243F1">
              <w:rPr>
                <w:sz w:val="22"/>
                <w:szCs w:val="22"/>
                <w:lang w:val="ro-RO"/>
              </w:rPr>
              <w:t>Oferta tehnica va cuprinde date tehnice si informatii care sa dovedeasca faptul ca lucrarile solicitate se vor executa respectand cerintele caietului de sarcini, dupa cum urmeaza: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2. </w:t>
            </w:r>
            <w:r w:rsidRPr="00C243F1">
              <w:rPr>
                <w:sz w:val="22"/>
                <w:szCs w:val="22"/>
                <w:lang w:val="ro-RO"/>
              </w:rPr>
              <w:t xml:space="preserve">In oferta tehnica ofertantul va certifica realizarea lucrarilor solicitate in anexa </w:t>
            </w:r>
          </w:p>
          <w:p w:rsid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 w:rsidRPr="00C243F1">
              <w:rPr>
                <w:sz w:val="22"/>
                <w:szCs w:val="22"/>
                <w:lang w:val="ro-RO"/>
              </w:rPr>
              <w:t>nr.1 si asigurarea tuturor materialelor necesare executarii lucrarilor mentionate in anexa nr. 1.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3.</w:t>
            </w:r>
            <w:r w:rsidRPr="00C243F1">
              <w:rPr>
                <w:sz w:val="22"/>
                <w:szCs w:val="22"/>
                <w:lang w:val="ro-RO"/>
              </w:rPr>
              <w:t>In cadrul ofertei tehnice se va prezenta graficul de executie a lucrarii, completand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C243F1">
              <w:rPr>
                <w:sz w:val="22"/>
                <w:szCs w:val="22"/>
                <w:lang w:val="ro-RO"/>
              </w:rPr>
              <w:t>formularul corespunzator din documentatia de atribuire.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4.</w:t>
            </w:r>
            <w:r w:rsidRPr="00C243F1">
              <w:rPr>
                <w:sz w:val="22"/>
                <w:szCs w:val="22"/>
                <w:lang w:val="ro-RO"/>
              </w:rPr>
              <w:t>In oferta tehnica se vor inscrie in mod obligatoriu informatii privind termenul de executie si garantiile tehnice ofertate.</w:t>
            </w:r>
          </w:p>
          <w:p w:rsidR="005F448C" w:rsidRPr="008A02F2" w:rsidRDefault="00C243F1" w:rsidP="008A02F2">
            <w:pPr>
              <w:shd w:val="clear" w:color="auto" w:fill="FFFFFF"/>
              <w:tabs>
                <w:tab w:val="left" w:pos="222"/>
              </w:tabs>
              <w:ind w:right="-45"/>
              <w:jc w:val="both"/>
              <w:rPr>
                <w:spacing w:val="4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5.</w:t>
            </w:r>
            <w:r w:rsidRPr="00C243F1">
              <w:rPr>
                <w:sz w:val="22"/>
                <w:szCs w:val="22"/>
                <w:lang w:val="ro-RO"/>
              </w:rPr>
              <w:t>În cadrul ofertei tehnice, ofertantul va face dovada respectarii reglementarilor în vigoare referitoare la securitatea si sanatatea în munca (</w:t>
            </w:r>
            <w:r w:rsidRPr="00C243F1">
              <w:rPr>
                <w:spacing w:val="4"/>
                <w:sz w:val="22"/>
                <w:szCs w:val="22"/>
                <w:lang w:val="ro-RO"/>
              </w:rPr>
              <w:t xml:space="preserve">Legea protecţiei muncii nr.319/2006; Normele metodologice de aplicare a prevederilor Legii securităţii şi sănătăţii în muncă nr.319/2006 aprobate prin HG 1425/2006, cu </w:t>
            </w:r>
            <w:r w:rsidRPr="00C243F1">
              <w:rPr>
                <w:spacing w:val="4"/>
                <w:sz w:val="22"/>
                <w:szCs w:val="22"/>
                <w:lang w:val="ro-RO"/>
              </w:rPr>
              <w:lastRenderedPageBreak/>
              <w:t>modificările şi completările ulterioare aprobate prin HG 955/2010 si HG nr. 767/2016; PE 205/1981 Norme de protecţie a muncii pentru partea mecanică a centralelor electrice).</w:t>
            </w:r>
          </w:p>
        </w:tc>
        <w:tc>
          <w:tcPr>
            <w:tcW w:w="2976" w:type="dxa"/>
          </w:tcPr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lastRenderedPageBreak/>
              <w:t>1.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C243F1" w:rsidRDefault="00C243F1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2. Acceptat □   Neacceptat □</w:t>
            </w:r>
          </w:p>
          <w:p w:rsidR="00C243F1" w:rsidRDefault="00C243F1" w:rsidP="00741D50">
            <w:pPr>
              <w:jc w:val="both"/>
              <w:rPr>
                <w:lang w:val="fr-FR"/>
              </w:rPr>
            </w:pPr>
          </w:p>
          <w:p w:rsidR="00C243F1" w:rsidRDefault="00C243F1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3.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4.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5. Acceptat □   Neacceptat □</w:t>
            </w:r>
          </w:p>
          <w:p w:rsidR="005F448C" w:rsidRPr="005F448C" w:rsidRDefault="005F448C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ab/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</w:p>
        </w:tc>
      </w:tr>
    </w:tbl>
    <w:p w:rsidR="005F448C" w:rsidRPr="007A7391" w:rsidRDefault="005F448C" w:rsidP="005F448C">
      <w:pPr>
        <w:tabs>
          <w:tab w:val="left" w:pos="13860"/>
        </w:tabs>
        <w:rPr>
          <w:b/>
          <w:color w:val="000000"/>
          <w:sz w:val="20"/>
          <w:szCs w:val="20"/>
        </w:rPr>
      </w:pPr>
      <w:r w:rsidRPr="008744FF">
        <w:rPr>
          <w:b/>
          <w:color w:val="000000"/>
        </w:rPr>
        <w:lastRenderedPageBreak/>
        <w:t xml:space="preserve">  </w:t>
      </w:r>
      <w:r>
        <w:rPr>
          <w:b/>
          <w:color w:val="000000"/>
        </w:rPr>
        <w:t xml:space="preserve">      </w:t>
      </w:r>
    </w:p>
    <w:p w:rsidR="005F448C" w:rsidRPr="007A7391" w:rsidRDefault="005F448C" w:rsidP="005F448C">
      <w:pPr>
        <w:tabs>
          <w:tab w:val="left" w:pos="13860"/>
        </w:tabs>
        <w:rPr>
          <w:b/>
          <w:color w:val="000000"/>
          <w:sz w:val="20"/>
          <w:szCs w:val="20"/>
        </w:rPr>
      </w:pP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  <w:r>
        <w:rPr>
          <w:b/>
          <w:color w:val="000000"/>
        </w:rPr>
        <w:t xml:space="preserve">    </w:t>
      </w:r>
      <w:r w:rsidRPr="005F448C">
        <w:rPr>
          <w:b/>
          <w:color w:val="000000"/>
          <w:u w:val="single"/>
        </w:rPr>
        <w:t>CONDIŢII COMERCIALE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2976"/>
      </w:tblGrid>
      <w:tr w:rsidR="005F448C" w:rsidRPr="005F448C" w:rsidTr="002C6F09">
        <w:trPr>
          <w:trHeight w:val="432"/>
        </w:trPr>
        <w:tc>
          <w:tcPr>
            <w:tcW w:w="7230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 OFERTA</w:t>
            </w:r>
            <w:r w:rsidR="00C324CA"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>EXECUTANT</w:t>
            </w:r>
            <w:r w:rsidR="00C324CA" w:rsidRPr="005F448C">
              <w:rPr>
                <w:color w:val="000000"/>
              </w:rPr>
              <w:t xml:space="preserve"> </w:t>
            </w:r>
          </w:p>
          <w:p w:rsidR="005F448C" w:rsidRPr="005F448C" w:rsidRDefault="005F448C" w:rsidP="002C6F09">
            <w:pPr>
              <w:rPr>
                <w:color w:val="000000"/>
              </w:rPr>
            </w:pPr>
            <w:r w:rsidRPr="005F448C">
              <w:rPr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(se bifează varianta</w:t>
            </w:r>
            <w:r w:rsidR="002C6F09">
              <w:rPr>
                <w:i/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dorită)</w:t>
            </w:r>
          </w:p>
        </w:tc>
      </w:tr>
      <w:tr w:rsidR="005F448C" w:rsidRPr="005F448C" w:rsidTr="002C6F09">
        <w:trPr>
          <w:trHeight w:val="602"/>
        </w:trPr>
        <w:tc>
          <w:tcPr>
            <w:tcW w:w="7230" w:type="dxa"/>
          </w:tcPr>
          <w:p w:rsidR="005F448C" w:rsidRPr="00BA04E3" w:rsidRDefault="005F448C" w:rsidP="005F448C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5F448C">
              <w:rPr>
                <w:b/>
                <w:sz w:val="22"/>
                <w:szCs w:val="22"/>
                <w:lang w:val="fr-FR"/>
              </w:rPr>
              <w:t xml:space="preserve">     Garantia tehnica</w:t>
            </w:r>
            <w:r w:rsidRPr="005F448C">
              <w:rPr>
                <w:sz w:val="22"/>
                <w:szCs w:val="22"/>
                <w:lang w:val="fr-FR"/>
              </w:rPr>
              <w:t xml:space="preserve">: </w:t>
            </w:r>
            <w:r w:rsidR="00BA04E3" w:rsidRPr="00BA04E3">
              <w:rPr>
                <w:b/>
                <w:bCs/>
                <w:spacing w:val="4"/>
                <w:sz w:val="22"/>
                <w:szCs w:val="22"/>
                <w:lang w:val="ro-RO"/>
              </w:rPr>
              <w:t>12 luni</w:t>
            </w:r>
            <w:r w:rsidR="00BA04E3" w:rsidRPr="00BA04E3">
              <w:rPr>
                <w:spacing w:val="4"/>
                <w:sz w:val="22"/>
                <w:szCs w:val="22"/>
                <w:lang w:val="ro-RO"/>
              </w:rPr>
              <w:t xml:space="preserve"> de la data semnarii procesului verbal de receptie de punere in functiune</w:t>
            </w:r>
            <w:r w:rsidRPr="00BA04E3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5F448C" w:rsidRDefault="005F448C" w:rsidP="008A02F2">
            <w:pPr>
              <w:rPr>
                <w:b/>
                <w:lang w:val="fr-FR"/>
              </w:rPr>
            </w:pPr>
            <w:r w:rsidRPr="005F448C">
              <w:rPr>
                <w:b/>
                <w:sz w:val="22"/>
                <w:szCs w:val="22"/>
                <w:lang w:val="fr-FR"/>
              </w:rPr>
              <w:t xml:space="preserve">      Durata si perioada de executie:</w:t>
            </w:r>
            <w:r w:rsidRPr="005F448C">
              <w:rPr>
                <w:sz w:val="22"/>
                <w:szCs w:val="22"/>
                <w:lang w:val="fr-FR"/>
              </w:rPr>
              <w:t xml:space="preserve"> </w:t>
            </w:r>
            <w:r w:rsidR="008A02F2">
              <w:rPr>
                <w:sz w:val="22"/>
                <w:szCs w:val="22"/>
                <w:lang w:val="fr-FR"/>
              </w:rPr>
              <w:t>45 zile calendaristice de la predarea frontului de lucru , prezentand grafic de executie in acest sens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5F448C" w:rsidRDefault="005F448C" w:rsidP="005F448C">
            <w:pPr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    </w:t>
            </w:r>
            <w:r w:rsidRPr="002910B8">
              <w:rPr>
                <w:b/>
                <w:sz w:val="22"/>
                <w:szCs w:val="22"/>
                <w:lang w:val="fr-FR"/>
              </w:rPr>
              <w:t xml:space="preserve">Conditii de plata: </w:t>
            </w:r>
            <w:r w:rsidRPr="002910B8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2976" w:type="dxa"/>
          </w:tcPr>
          <w:p w:rsidR="005F448C" w:rsidRPr="006E2A8D" w:rsidRDefault="005F448C" w:rsidP="00343CC5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  Neacceptat □</w:t>
            </w:r>
          </w:p>
        </w:tc>
      </w:tr>
      <w:tr w:rsidR="005F448C" w:rsidRPr="005F448C" w:rsidTr="002C6F09">
        <w:trPr>
          <w:trHeight w:val="539"/>
        </w:trPr>
        <w:tc>
          <w:tcPr>
            <w:tcW w:w="7230" w:type="dxa"/>
          </w:tcPr>
          <w:p w:rsidR="008A02F2" w:rsidRDefault="005F448C" w:rsidP="008A02F2">
            <w:pPr>
              <w:rPr>
                <w:color w:val="000000"/>
              </w:rPr>
            </w:pPr>
            <w:r w:rsidRPr="005F448C">
              <w:rPr>
                <w:b/>
                <w:color w:val="000000"/>
                <w:sz w:val="22"/>
                <w:szCs w:val="22"/>
              </w:rPr>
              <w:t xml:space="preserve">     Adresa :</w:t>
            </w:r>
            <w:r w:rsidRPr="005F448C">
              <w:rPr>
                <w:color w:val="000000"/>
                <w:sz w:val="22"/>
                <w:szCs w:val="22"/>
              </w:rPr>
              <w:t xml:space="preserve"> Bucureşti</w:t>
            </w:r>
          </w:p>
          <w:p w:rsidR="005F448C" w:rsidRPr="008A02F2" w:rsidRDefault="005F448C" w:rsidP="008A02F2">
            <w:pPr>
              <w:rPr>
                <w:color w:val="000000"/>
              </w:rPr>
            </w:pPr>
            <w:r w:rsidRPr="005F448C">
              <w:rPr>
                <w:b/>
                <w:sz w:val="22"/>
                <w:szCs w:val="22"/>
                <w:lang w:val="es-ES"/>
              </w:rPr>
              <w:t xml:space="preserve"> </w:t>
            </w:r>
            <w:r w:rsidR="008A02F2" w:rsidRPr="00B65638">
              <w:rPr>
                <w:sz w:val="22"/>
                <w:szCs w:val="22"/>
              </w:rPr>
              <w:t xml:space="preserve">CTE </w:t>
            </w:r>
            <w:r w:rsidR="008A02F2">
              <w:rPr>
                <w:sz w:val="22"/>
                <w:szCs w:val="22"/>
              </w:rPr>
              <w:t>Bucuresti Sud</w:t>
            </w:r>
            <w:r w:rsidR="008A02F2" w:rsidRPr="00B65638">
              <w:rPr>
                <w:sz w:val="22"/>
                <w:szCs w:val="22"/>
              </w:rPr>
              <w:t>:</w:t>
            </w:r>
            <w:r w:rsidR="008A02F2">
              <w:rPr>
                <w:sz w:val="22"/>
                <w:szCs w:val="22"/>
              </w:rPr>
              <w:t xml:space="preserve">   </w:t>
            </w:r>
            <w:r w:rsidR="008A02F2">
              <w:rPr>
                <w:sz w:val="22"/>
                <w:szCs w:val="22"/>
                <w:lang w:val="ro-RO"/>
              </w:rPr>
              <w:t>S</w:t>
            </w:r>
            <w:r w:rsidR="008A02F2" w:rsidRPr="00427023">
              <w:rPr>
                <w:sz w:val="22"/>
                <w:szCs w:val="22"/>
                <w:lang w:val="ro-RO"/>
              </w:rPr>
              <w:t>tr. Releului nr.2, Sector 3</w:t>
            </w:r>
            <w:r w:rsidR="008A02F2">
              <w:rPr>
                <w:sz w:val="22"/>
                <w:szCs w:val="22"/>
              </w:rPr>
              <w:t xml:space="preserve"> </w:t>
            </w:r>
            <w:r w:rsidR="008A02F2" w:rsidRPr="00B65638">
              <w:rPr>
                <w:sz w:val="22"/>
                <w:szCs w:val="22"/>
              </w:rPr>
              <w:t>, Bucureşti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</w:tc>
      </w:tr>
      <w:tr w:rsidR="005F448C" w:rsidRPr="005F448C" w:rsidTr="002C6F09">
        <w:trPr>
          <w:trHeight w:val="1031"/>
        </w:trPr>
        <w:tc>
          <w:tcPr>
            <w:tcW w:w="7230" w:type="dxa"/>
          </w:tcPr>
          <w:p w:rsidR="005F448C" w:rsidRPr="005F448C" w:rsidRDefault="005F448C" w:rsidP="005F448C">
            <w:pPr>
              <w:ind w:right="216"/>
              <w:rPr>
                <w:b/>
                <w:bCs/>
              </w:rPr>
            </w:pPr>
            <w:r w:rsidRPr="005F448C">
              <w:rPr>
                <w:b/>
                <w:bCs/>
                <w:sz w:val="22"/>
                <w:szCs w:val="22"/>
              </w:rPr>
              <w:t xml:space="preserve">     Receptia serviciilor  </w:t>
            </w:r>
          </w:p>
          <w:p w:rsidR="008A02F2" w:rsidRPr="008A02F2" w:rsidRDefault="008A02F2" w:rsidP="008A02F2">
            <w:pPr>
              <w:jc w:val="both"/>
              <w:rPr>
                <w:spacing w:val="4"/>
                <w:lang w:val="ro-RO"/>
              </w:rPr>
            </w:pPr>
            <w:r w:rsidRPr="008A02F2">
              <w:rPr>
                <w:spacing w:val="4"/>
                <w:lang w:val="ro-RO"/>
              </w:rPr>
              <w:t xml:space="preserve">- receptia la terminarea executarii lucrarilor (pe faze de executie); </w:t>
            </w:r>
          </w:p>
          <w:p w:rsidR="008A02F2" w:rsidRPr="008A02F2" w:rsidRDefault="008A02F2" w:rsidP="008A02F2">
            <w:pPr>
              <w:jc w:val="both"/>
              <w:rPr>
                <w:spacing w:val="4"/>
                <w:lang w:val="ro-RO"/>
              </w:rPr>
            </w:pPr>
            <w:r w:rsidRPr="008A02F2">
              <w:rPr>
                <w:spacing w:val="4"/>
                <w:lang w:val="ro-RO"/>
              </w:rPr>
              <w:t>- receptia la punerea in functiune;</w:t>
            </w:r>
          </w:p>
          <w:p w:rsidR="005F448C" w:rsidRPr="008A02F2" w:rsidRDefault="008A02F2" w:rsidP="008A02F2">
            <w:pPr>
              <w:jc w:val="both"/>
              <w:rPr>
                <w:spacing w:val="4"/>
                <w:lang w:val="ro-RO"/>
              </w:rPr>
            </w:pPr>
            <w:r>
              <w:rPr>
                <w:spacing w:val="4"/>
                <w:lang w:val="ro-RO"/>
              </w:rPr>
              <w:t xml:space="preserve">- </w:t>
            </w:r>
            <w:r w:rsidRPr="008A02F2">
              <w:rPr>
                <w:spacing w:val="4"/>
                <w:lang w:val="ro-RO"/>
              </w:rPr>
              <w:t xml:space="preserve"> receptia finala (la expirarea perioadei de garantie).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 Acceptat □    Neaccepta □</w:t>
            </w:r>
            <w:r w:rsidR="008A02F2" w:rsidRPr="006E2A8D">
              <w:rPr>
                <w:color w:val="000000"/>
                <w:sz w:val="20"/>
                <w:szCs w:val="20"/>
              </w:rPr>
              <w:t xml:space="preserve"> Acceptat □    Neaccepta □</w:t>
            </w:r>
          </w:p>
        </w:tc>
      </w:tr>
      <w:tr w:rsidR="005F448C" w:rsidRPr="00E315FE" w:rsidTr="002C6F09">
        <w:trPr>
          <w:trHeight w:val="683"/>
        </w:trPr>
        <w:tc>
          <w:tcPr>
            <w:tcW w:w="7230" w:type="dxa"/>
          </w:tcPr>
          <w:p w:rsidR="005F448C" w:rsidRPr="005F448C" w:rsidRDefault="005F448C" w:rsidP="005F448C">
            <w:pPr>
              <w:pStyle w:val="BodyTextIndent3"/>
              <w:ind w:left="0" w:right="367"/>
              <w:rPr>
                <w:sz w:val="22"/>
                <w:szCs w:val="22"/>
              </w:rPr>
            </w:pPr>
            <w:r w:rsidRPr="005F448C">
              <w:rPr>
                <w:sz w:val="22"/>
                <w:szCs w:val="22"/>
                <w:lang w:val="fr-FR"/>
              </w:rPr>
              <w:t xml:space="preserve">Sa respecte </w:t>
            </w:r>
            <w:r w:rsidRPr="005F448C">
              <w:rPr>
                <w:b/>
                <w:sz w:val="22"/>
                <w:szCs w:val="22"/>
                <w:lang w:val="fr-FR"/>
              </w:rPr>
              <w:t>clauzele contractuale</w:t>
            </w:r>
            <w:r w:rsidRPr="005F448C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5F448C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5F448C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5F448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Neacceptat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□ Acceptat </w:t>
            </w:r>
            <w:r w:rsidRPr="006E2A8D">
              <w:rPr>
                <w:b/>
                <w:i/>
                <w:color w:val="000000"/>
                <w:sz w:val="20"/>
                <w:szCs w:val="20"/>
              </w:rPr>
              <w:t>cu obiectiuni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(se atasaza </w:t>
            </w:r>
            <w:r w:rsidRPr="006E2A8D">
              <w:rPr>
                <w:sz w:val="20"/>
                <w:szCs w:val="20"/>
                <w:lang w:val="it-IT"/>
              </w:rPr>
              <w:t>obiectiunile la modelul de contract daca este cazul)</w:t>
            </w:r>
          </w:p>
        </w:tc>
      </w:tr>
    </w:tbl>
    <w:p w:rsidR="00EA4BA2" w:rsidRDefault="00EA4BA2" w:rsidP="006617B8">
      <w:pPr>
        <w:rPr>
          <w:b/>
          <w:color w:val="000000"/>
        </w:rPr>
      </w:pPr>
    </w:p>
    <w:p w:rsidR="00EA4BA2" w:rsidRDefault="00EA4BA2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Executant </w:t>
      </w:r>
      <w:r w:rsidR="00EA4BA2">
        <w:rPr>
          <w:b/>
          <w:color w:val="000000"/>
          <w:lang w:val="es-MX"/>
        </w:rPr>
        <w:t>…..</w:t>
      </w:r>
    </w:p>
    <w:p w:rsidR="00EB0E68" w:rsidRPr="00355BFE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</w:t>
      </w:r>
    </w:p>
    <w:sectPr w:rsidR="00EB0E68" w:rsidRPr="00355BFE" w:rsidSect="002C6F09">
      <w:footerReference w:type="default" r:id="rId9"/>
      <w:footerReference w:type="first" r:id="rId10"/>
      <w:pgSz w:w="11906" w:h="16838" w:code="9"/>
      <w:pgMar w:top="284" w:right="424" w:bottom="142" w:left="1418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1B3" w:rsidRDefault="004101B3" w:rsidP="00221F75">
      <w:r>
        <w:separator/>
      </w:r>
    </w:p>
  </w:endnote>
  <w:endnote w:type="continuationSeparator" w:id="0">
    <w:p w:rsidR="004101B3" w:rsidRDefault="004101B3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98572A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C324CA">
          <w:rPr>
            <w:sz w:val="20"/>
            <w:szCs w:val="20"/>
          </w:rPr>
          <w:t>3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D8" w:rsidRDefault="00BA4FD8">
    <w:pPr>
      <w:pStyle w:val="Footer"/>
      <w:jc w:val="center"/>
    </w:pPr>
  </w:p>
  <w:p w:rsidR="00BA4FD8" w:rsidRDefault="00BA4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1B3" w:rsidRDefault="004101B3" w:rsidP="00221F75">
      <w:r>
        <w:separator/>
      </w:r>
    </w:p>
  </w:footnote>
  <w:footnote w:type="continuationSeparator" w:id="0">
    <w:p w:rsidR="004101B3" w:rsidRDefault="004101B3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5FE6DAA"/>
    <w:multiLevelType w:val="hybridMultilevel"/>
    <w:tmpl w:val="DEAE65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1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2">
    <w:nsid w:val="2F7561AE"/>
    <w:multiLevelType w:val="hybridMultilevel"/>
    <w:tmpl w:val="5CEC2F58"/>
    <w:lvl w:ilvl="0" w:tplc="5C38326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5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0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7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8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0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4"/>
  </w:num>
  <w:num w:numId="4">
    <w:abstractNumId w:val="20"/>
  </w:num>
  <w:num w:numId="5">
    <w:abstractNumId w:val="29"/>
  </w:num>
  <w:num w:numId="6">
    <w:abstractNumId w:val="30"/>
  </w:num>
  <w:num w:numId="7">
    <w:abstractNumId w:val="26"/>
  </w:num>
  <w:num w:numId="8">
    <w:abstractNumId w:val="10"/>
  </w:num>
  <w:num w:numId="9">
    <w:abstractNumId w:val="13"/>
  </w:num>
  <w:num w:numId="10">
    <w:abstractNumId w:val="21"/>
  </w:num>
  <w:num w:numId="11">
    <w:abstractNumId w:val="25"/>
  </w:num>
  <w:num w:numId="12">
    <w:abstractNumId w:val="18"/>
  </w:num>
  <w:num w:numId="13">
    <w:abstractNumId w:val="6"/>
  </w:num>
  <w:num w:numId="14">
    <w:abstractNumId w:val="24"/>
  </w:num>
  <w:num w:numId="15">
    <w:abstractNumId w:val="11"/>
  </w:num>
  <w:num w:numId="16">
    <w:abstractNumId w:val="14"/>
  </w:num>
  <w:num w:numId="17">
    <w:abstractNumId w:val="5"/>
  </w:num>
  <w:num w:numId="18">
    <w:abstractNumId w:val="27"/>
  </w:num>
  <w:num w:numId="19">
    <w:abstractNumId w:val="16"/>
  </w:num>
  <w:num w:numId="20">
    <w:abstractNumId w:val="19"/>
  </w:num>
  <w:num w:numId="21">
    <w:abstractNumId w:val="15"/>
  </w:num>
  <w:num w:numId="22">
    <w:abstractNumId w:val="3"/>
  </w:num>
  <w:num w:numId="23">
    <w:abstractNumId w:val="2"/>
  </w:num>
  <w:num w:numId="24">
    <w:abstractNumId w:val="17"/>
  </w:num>
  <w:num w:numId="25">
    <w:abstractNumId w:val="23"/>
  </w:num>
  <w:num w:numId="26">
    <w:abstractNumId w:val="7"/>
  </w:num>
  <w:num w:numId="27">
    <w:abstractNumId w:val="31"/>
  </w:num>
  <w:num w:numId="28">
    <w:abstractNumId w:val="1"/>
  </w:num>
  <w:num w:numId="29">
    <w:abstractNumId w:val="28"/>
  </w:num>
  <w:num w:numId="30">
    <w:abstractNumId w:val="9"/>
  </w:num>
  <w:num w:numId="31">
    <w:abstractNumId w:val="8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2A85"/>
    <w:rsid w:val="00005BEC"/>
    <w:rsid w:val="000143E7"/>
    <w:rsid w:val="00020187"/>
    <w:rsid w:val="00034581"/>
    <w:rsid w:val="00037087"/>
    <w:rsid w:val="000426C7"/>
    <w:rsid w:val="00046A4E"/>
    <w:rsid w:val="0005073D"/>
    <w:rsid w:val="00055CCF"/>
    <w:rsid w:val="00061737"/>
    <w:rsid w:val="00071EDD"/>
    <w:rsid w:val="000834D7"/>
    <w:rsid w:val="00092A69"/>
    <w:rsid w:val="00096C3D"/>
    <w:rsid w:val="00097BA6"/>
    <w:rsid w:val="000A01EA"/>
    <w:rsid w:val="000B1E7F"/>
    <w:rsid w:val="000B3397"/>
    <w:rsid w:val="000B615B"/>
    <w:rsid w:val="000D1CFF"/>
    <w:rsid w:val="000D46C3"/>
    <w:rsid w:val="000E32A9"/>
    <w:rsid w:val="000E63A5"/>
    <w:rsid w:val="000E6DEB"/>
    <w:rsid w:val="000F3540"/>
    <w:rsid w:val="00102181"/>
    <w:rsid w:val="001049BB"/>
    <w:rsid w:val="0010706F"/>
    <w:rsid w:val="00126215"/>
    <w:rsid w:val="00133067"/>
    <w:rsid w:val="00135F3A"/>
    <w:rsid w:val="0013605A"/>
    <w:rsid w:val="00144CF8"/>
    <w:rsid w:val="00161667"/>
    <w:rsid w:val="00171C2C"/>
    <w:rsid w:val="00185F16"/>
    <w:rsid w:val="00186568"/>
    <w:rsid w:val="00187673"/>
    <w:rsid w:val="00196FD6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12E21"/>
    <w:rsid w:val="00221F75"/>
    <w:rsid w:val="0022545C"/>
    <w:rsid w:val="00235869"/>
    <w:rsid w:val="002805C8"/>
    <w:rsid w:val="002824E6"/>
    <w:rsid w:val="00285CC5"/>
    <w:rsid w:val="002917B4"/>
    <w:rsid w:val="002955A4"/>
    <w:rsid w:val="002964B9"/>
    <w:rsid w:val="002A21E7"/>
    <w:rsid w:val="002C6F09"/>
    <w:rsid w:val="002E24EA"/>
    <w:rsid w:val="00300547"/>
    <w:rsid w:val="0032128D"/>
    <w:rsid w:val="0034016C"/>
    <w:rsid w:val="00343750"/>
    <w:rsid w:val="003462CE"/>
    <w:rsid w:val="00355BFE"/>
    <w:rsid w:val="003903C2"/>
    <w:rsid w:val="003945B8"/>
    <w:rsid w:val="003A6D47"/>
    <w:rsid w:val="003C20AA"/>
    <w:rsid w:val="003E4F66"/>
    <w:rsid w:val="00404783"/>
    <w:rsid w:val="004101B3"/>
    <w:rsid w:val="00410A3B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A3552"/>
    <w:rsid w:val="004B7E2B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92066"/>
    <w:rsid w:val="00597A30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D1D"/>
    <w:rsid w:val="005D313D"/>
    <w:rsid w:val="005D3CEF"/>
    <w:rsid w:val="005D53AF"/>
    <w:rsid w:val="005D6E40"/>
    <w:rsid w:val="005E3E3C"/>
    <w:rsid w:val="005F448C"/>
    <w:rsid w:val="00607F35"/>
    <w:rsid w:val="006129EB"/>
    <w:rsid w:val="00614455"/>
    <w:rsid w:val="006203B9"/>
    <w:rsid w:val="006343DA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6480"/>
    <w:rsid w:val="006C6708"/>
    <w:rsid w:val="006E2A8D"/>
    <w:rsid w:val="006E5674"/>
    <w:rsid w:val="006F1B41"/>
    <w:rsid w:val="00702E97"/>
    <w:rsid w:val="00704D1B"/>
    <w:rsid w:val="00712113"/>
    <w:rsid w:val="00717A0E"/>
    <w:rsid w:val="0072002B"/>
    <w:rsid w:val="00721FB1"/>
    <w:rsid w:val="007253B3"/>
    <w:rsid w:val="00734427"/>
    <w:rsid w:val="00742A6C"/>
    <w:rsid w:val="00744A77"/>
    <w:rsid w:val="00760828"/>
    <w:rsid w:val="007615FE"/>
    <w:rsid w:val="00765EAE"/>
    <w:rsid w:val="0076680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157F"/>
    <w:rsid w:val="00822A53"/>
    <w:rsid w:val="00834D6E"/>
    <w:rsid w:val="00835DCE"/>
    <w:rsid w:val="008440C8"/>
    <w:rsid w:val="00850B0F"/>
    <w:rsid w:val="00863601"/>
    <w:rsid w:val="008640BD"/>
    <w:rsid w:val="008649B1"/>
    <w:rsid w:val="00864D5A"/>
    <w:rsid w:val="00871A6A"/>
    <w:rsid w:val="0087531B"/>
    <w:rsid w:val="00875D6D"/>
    <w:rsid w:val="00880CEB"/>
    <w:rsid w:val="00897B40"/>
    <w:rsid w:val="008A02F2"/>
    <w:rsid w:val="008A3FBD"/>
    <w:rsid w:val="008B2428"/>
    <w:rsid w:val="008B642C"/>
    <w:rsid w:val="008B661B"/>
    <w:rsid w:val="008C04DE"/>
    <w:rsid w:val="008C41E4"/>
    <w:rsid w:val="008D062C"/>
    <w:rsid w:val="008D45DF"/>
    <w:rsid w:val="008E15CF"/>
    <w:rsid w:val="008F6162"/>
    <w:rsid w:val="008F7556"/>
    <w:rsid w:val="00902C6F"/>
    <w:rsid w:val="00912647"/>
    <w:rsid w:val="00915DB8"/>
    <w:rsid w:val="00921DF7"/>
    <w:rsid w:val="0092262D"/>
    <w:rsid w:val="00926A39"/>
    <w:rsid w:val="00935F2D"/>
    <w:rsid w:val="00944886"/>
    <w:rsid w:val="00947EFF"/>
    <w:rsid w:val="0095115E"/>
    <w:rsid w:val="00955185"/>
    <w:rsid w:val="00966C01"/>
    <w:rsid w:val="0098227D"/>
    <w:rsid w:val="0098572A"/>
    <w:rsid w:val="0099428D"/>
    <w:rsid w:val="009A2643"/>
    <w:rsid w:val="009A368B"/>
    <w:rsid w:val="009A6A09"/>
    <w:rsid w:val="009B128C"/>
    <w:rsid w:val="009B5F7E"/>
    <w:rsid w:val="009C562F"/>
    <w:rsid w:val="009D37D2"/>
    <w:rsid w:val="009E2D4B"/>
    <w:rsid w:val="009E596E"/>
    <w:rsid w:val="009E68D9"/>
    <w:rsid w:val="009F2BFB"/>
    <w:rsid w:val="009F5952"/>
    <w:rsid w:val="00A00C44"/>
    <w:rsid w:val="00A07FDA"/>
    <w:rsid w:val="00A524BE"/>
    <w:rsid w:val="00A60201"/>
    <w:rsid w:val="00A62207"/>
    <w:rsid w:val="00A64400"/>
    <w:rsid w:val="00A73C12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47D03"/>
    <w:rsid w:val="00B553AE"/>
    <w:rsid w:val="00B6457A"/>
    <w:rsid w:val="00B65638"/>
    <w:rsid w:val="00B82C8D"/>
    <w:rsid w:val="00B84B21"/>
    <w:rsid w:val="00B8626E"/>
    <w:rsid w:val="00B90E99"/>
    <w:rsid w:val="00BA04E3"/>
    <w:rsid w:val="00BA4FD8"/>
    <w:rsid w:val="00BB0795"/>
    <w:rsid w:val="00BB13F9"/>
    <w:rsid w:val="00BC04CB"/>
    <w:rsid w:val="00BC2ED5"/>
    <w:rsid w:val="00BC569D"/>
    <w:rsid w:val="00BD1800"/>
    <w:rsid w:val="00BE3842"/>
    <w:rsid w:val="00BE3C58"/>
    <w:rsid w:val="00BE5912"/>
    <w:rsid w:val="00BE61DF"/>
    <w:rsid w:val="00BF3CFA"/>
    <w:rsid w:val="00C006C6"/>
    <w:rsid w:val="00C131F6"/>
    <w:rsid w:val="00C2232A"/>
    <w:rsid w:val="00C243F1"/>
    <w:rsid w:val="00C266EB"/>
    <w:rsid w:val="00C26A99"/>
    <w:rsid w:val="00C31219"/>
    <w:rsid w:val="00C324CA"/>
    <w:rsid w:val="00C371F3"/>
    <w:rsid w:val="00C5178E"/>
    <w:rsid w:val="00C55A6A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1548"/>
    <w:rsid w:val="00CA2247"/>
    <w:rsid w:val="00CA5D3D"/>
    <w:rsid w:val="00CA7CDA"/>
    <w:rsid w:val="00CC23A5"/>
    <w:rsid w:val="00CC4F4E"/>
    <w:rsid w:val="00CE59DB"/>
    <w:rsid w:val="00CF0465"/>
    <w:rsid w:val="00CF4591"/>
    <w:rsid w:val="00CF59A2"/>
    <w:rsid w:val="00D04D6B"/>
    <w:rsid w:val="00D14A52"/>
    <w:rsid w:val="00D20029"/>
    <w:rsid w:val="00D205E9"/>
    <w:rsid w:val="00D20F4E"/>
    <w:rsid w:val="00D22A1D"/>
    <w:rsid w:val="00D34D5B"/>
    <w:rsid w:val="00D44E8F"/>
    <w:rsid w:val="00D52D9E"/>
    <w:rsid w:val="00D805A2"/>
    <w:rsid w:val="00D83868"/>
    <w:rsid w:val="00D93A1D"/>
    <w:rsid w:val="00D96808"/>
    <w:rsid w:val="00DA686A"/>
    <w:rsid w:val="00DB001A"/>
    <w:rsid w:val="00DB7368"/>
    <w:rsid w:val="00DB77A3"/>
    <w:rsid w:val="00DC19FE"/>
    <w:rsid w:val="00DD3E38"/>
    <w:rsid w:val="00DD47F9"/>
    <w:rsid w:val="00DE4AFC"/>
    <w:rsid w:val="00DF5B7D"/>
    <w:rsid w:val="00E00700"/>
    <w:rsid w:val="00E01C9A"/>
    <w:rsid w:val="00E01E56"/>
    <w:rsid w:val="00E10020"/>
    <w:rsid w:val="00E1183F"/>
    <w:rsid w:val="00E16970"/>
    <w:rsid w:val="00E24687"/>
    <w:rsid w:val="00E362EF"/>
    <w:rsid w:val="00E52E8B"/>
    <w:rsid w:val="00E5655A"/>
    <w:rsid w:val="00E61EE1"/>
    <w:rsid w:val="00E72697"/>
    <w:rsid w:val="00E91847"/>
    <w:rsid w:val="00E9604D"/>
    <w:rsid w:val="00EA4BA2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F1502"/>
    <w:rsid w:val="00EF47A6"/>
    <w:rsid w:val="00F042F3"/>
    <w:rsid w:val="00F067F4"/>
    <w:rsid w:val="00F14AA3"/>
    <w:rsid w:val="00F175D6"/>
    <w:rsid w:val="00F231D5"/>
    <w:rsid w:val="00F23F3E"/>
    <w:rsid w:val="00F3564F"/>
    <w:rsid w:val="00F45587"/>
    <w:rsid w:val="00F528B2"/>
    <w:rsid w:val="00F6625E"/>
    <w:rsid w:val="00F66F0A"/>
    <w:rsid w:val="00F70B5D"/>
    <w:rsid w:val="00F7509B"/>
    <w:rsid w:val="00F7746F"/>
    <w:rsid w:val="00F779A7"/>
    <w:rsid w:val="00F82DC5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D4B79-4462-4470-A7E3-65F6BD7F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180</cp:revision>
  <cp:lastPrinted>2023-03-31T06:21:00Z</cp:lastPrinted>
  <dcterms:created xsi:type="dcterms:W3CDTF">2021-03-22T08:17:00Z</dcterms:created>
  <dcterms:modified xsi:type="dcterms:W3CDTF">2023-08-16T10:27:00Z</dcterms:modified>
</cp:coreProperties>
</file>